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Bioweave — TGA/FDA Compliance Review</w:t>
      </w:r>
    </w:p>
    <w:p>
      <w:pPr>
        <w:pStyle w:val="Heading3"/>
      </w:pPr>
      <w:r>
        <w:t>Prepared for DT | April 2026 | Confidential</w:t>
      </w:r>
    </w:p>
    <w:p>
      <w:r>
        <w:br w:type="page"/>
      </w:r>
    </w:p>
    <w:p>
      <w:pPr>
        <w:pStyle w:val="Heading2"/>
      </w:pPr>
      <w:r>
        <w:t>1. Executive Summary</w:t>
      </w:r>
    </w:p>
    <w:p>
      <w:r>
        <w:t>Bottom line: Bioweave's regulatory position is defensible but needs immediate cleanup before any high-profile meetings or public launch.</w:t>
      </w:r>
    </w:p>
    <w:p>
      <w:r>
        <w:t>Your biggest asset: The doctor-in-the-loop review. This single design decision does more for your compliance posture than any disclaimer or legal opinion. It positions the supplement as a compounded medicine (not a consumer product), mitigates Software as a Medical Device (SaMD) classification risk for the AI, and creates a genuine clinical relationship. Lean into it.</w:t>
      </w:r>
    </w:p>
    <w:p>
      <w:r>
        <w:t>Your biggest risks:</w:t>
      </w:r>
    </w:p>
    <w:p>
      <w:r>
        <w:t>1. Website language — Several claims cross therapeutic lines that trigger TGA scrutiny. "Seven specialist AI doctors" is the worst offender. "I want to get pregnant" and "I want to feel less anxious" are regulated health claims in Australia. These need rewording before anyone with regulatory experience (like Radek) sees the site.</w:t>
      </w:r>
    </w:p>
    <w:p>
      <w:r>
        <w:t>2. SaMD classification — If the TGA decides your AI system "influences clinical decisions" rather than "supports" them, you're in medical device territory. The doctor review mitigates this, but your marketing language needs to match your regulatory position.</w:t>
      </w:r>
    </w:p>
    <w:p>
      <w:r>
        <w:t>3. "Medical-grade AI" — This phrase implies you've been assessed as a medical device. You haven't. It's a liability.</w:t>
      </w:r>
    </w:p>
    <w:p>
      <w:r>
        <w:t>Overall assessment: Bioweave has chosen the RIGHT regulatory architecture. The compounded medicine pathway with doctor oversight is the smartest route for a personalised supplement business in Australia. But the marketing copy was written for impact, not compliance. Fix the copy, formalise the doctor review process, and you'll have a story that impresses Radek rather than concerns him.</w:t>
      </w:r>
    </w:p>
    <w:p>
      <w:r>
        <w:br w:type="page"/>
      </w:r>
    </w:p>
    <w:p>
      <w:pPr>
        <w:pStyle w:val="Heading2"/>
      </w:pPr>
      <w:r>
        <w:t>2. Product Classification — Australia</w:t>
      </w:r>
    </w:p>
    <w:p>
      <w:pPr>
        <w:pStyle w:val="Heading3"/>
      </w:pPr>
      <w:r>
        <w:t>The Supplement: Compounded Medicine</w:t>
      </w:r>
    </w:p>
    <w:p>
      <w:r>
        <w:t>Bioweave's supplement is compounded for an individual patient, prescribed by a doctor, and manufactured by an Australian pharmacy. Under the Therapeutic Goods Act 1989, this means:</w:t>
      </w:r>
    </w:p>
    <w:p>
      <w:pPr>
        <w:pStyle w:val="ListBullet"/>
      </w:pPr>
      <w:r>
        <w:t>**Exempt from ARTG listing** — compounded medicines made by a pharmacist for a specific patient on a doctor's prescription don't need to be listed or registered on the Australian Register of Therapeutic Goods (ARTG), provided:</w:t>
      </w:r>
    </w:p>
    <w:p>
      <w:pPr>
        <w:pStyle w:val="ListBullet2"/>
      </w:pPr>
      <w:r>
        <w:t>The compounding is done by a licensed pharmacist</w:t>
      </w:r>
    </w:p>
    <w:p>
      <w:pPr>
        <w:pStyle w:val="ListBullet2"/>
      </w:pPr>
      <w:r>
        <w:t>It's based on a valid prescription from a registered medical practitioner</w:t>
      </w:r>
    </w:p>
    <w:p>
      <w:pPr>
        <w:pStyle w:val="ListBullet2"/>
      </w:pPr>
      <w:r>
        <w:t>The pharmacy operates under state/territory pharmacy legislation</w:t>
      </w:r>
    </w:p>
    <w:p>
      <w:pPr>
        <w:pStyle w:val="ListBullet2"/>
      </w:pPr>
      <w:r>
        <w:t>The compounding follows TGA's *Guidance on the compounding of medicines* (current version)</w:t>
      </w:r>
    </w:p>
    <w:p>
      <w:pPr>
        <w:pStyle w:val="ListBullet"/>
      </w:pPr>
      <w:r>
        <w:t>**This is NOT a loophole** — it's a legitimate, well-established pathway used by hundreds of compounding pharmacies across Australia</w:t>
      </w:r>
    </w:p>
    <w:p>
      <w:pPr>
        <w:pStyle w:val="ListBullet"/>
      </w:pPr>
      <w:r>
        <w:t>**Key requirement:** The pharmacy must be TGA-licensed and follow Good Manufacturing Practice (GMP) principles for compounding</w:t>
      </w:r>
    </w:p>
    <w:p>
      <w:r>
        <w:t>Risk: If the TGA determines that Bioweave is effectively manufacturing a standardised product and using the doctor review as a rubber stamp, the exemption could be challenged. The doctor review must be genuine — the doctor must have the ability (and must actually exercise the ability) to modify or reject formulations.</w:t>
      </w:r>
    </w:p>
    <w:p>
      <w:pPr>
        <w:pStyle w:val="Heading3"/>
      </w:pPr>
      <w:r>
        <w:t>The AI System: SaMD Risk</w:t>
      </w:r>
    </w:p>
    <w:p>
      <w:r>
        <w:t>The Therapeutic Goods Administration classifies Software as a Medical Device (SaMD) based on the manufacturer's intended purpose. The February 2026 TGA guidance reaffirmed this principle.</w:t>
      </w:r>
    </w:p>
    <w:p>
      <w:r>
        <w:t>The critical question: Is Bioweave's AI system intended to:</w:t>
      </w:r>
    </w:p>
    <w:p>
      <w:pPr>
        <w:pStyle w:val="ListBullet"/>
      </w:pPr>
      <w:r>
        <w:t>**(a) Make clinical decisions** → SaMD, requires ARTG inclusion, potentially Class IIa or higher</w:t>
      </w:r>
    </w:p>
    <w:p>
      <w:pPr>
        <w:pStyle w:val="ListBullet"/>
      </w:pPr>
      <w:r>
        <w:t>**(b) Support clinical decisions made by a doctor** → likely NOT SaMD, or lower-risk classification</w:t>
      </w:r>
    </w:p>
    <w:p>
      <w:r>
        <w:t>| Component | SaMD Risk | Assessment |</w:t>
      </w:r>
    </w:p>
    <w:p>
      <w:r>
        <w:t>|-----------|-----------|------------|</w:t>
      </w:r>
    </w:p>
    <w:p>
      <w:r>
        <w:t>| AI recommendation engine (7 domains) | **HIGH** if positioned as decision-maker | Must be positioned as clinical decision SUPPORT |</w:t>
      </w:r>
    </w:p>
    <w:p>
      <w:r>
        <w:t>| Health dashboard | **LOW** if informational | Keep clearly in wellness/information territory |</w:t>
      </w:r>
    </w:p>
    <w:p>
      <w:r>
        <w:t>| AI chatbot / health advisor | **MEDIUM-HIGH** if giving specific recommendations | Needs disclaimers; must not replace medical advice |</w:t>
      </w:r>
    </w:p>
    <w:p>
      <w:r>
        <w:t>| BioGlyph visualisation | **LOW** | Wellness metric, not diagnostic |</w:t>
      </w:r>
    </w:p>
    <w:p>
      <w:r>
        <w:t>The doctor-in-the-loop is your defence. If the doctor reviews, can modify, and ultimately prescribes the formulation — the AI is a support tool, not a decision-maker. This is the same principle that keeps clinical decision support systems out of SaMD classification globally.</w:t>
      </w:r>
    </w:p>
    <w:p>
      <w:r>
        <w:t>BUT: Your marketing cannot undermine this position. If you market the AI as "seven specialist AI doctors" that determine your supplement, you're telling the TGA the AI makes the decisions. Your regulatory position and your marketing must tell the same story.</w:t>
      </w:r>
    </w:p>
    <w:p>
      <w:pPr>
        <w:pStyle w:val="Heading3"/>
      </w:pPr>
      <w:r>
        <w:t>Key TGA References</w:t>
      </w:r>
    </w:p>
    <w:p>
      <w:pPr>
        <w:pStyle w:val="ListBullet"/>
      </w:pPr>
      <w:r>
        <w:t>Therapeutic Goods Act 1989, s.7 (compounded medicines exemption)</w:t>
      </w:r>
    </w:p>
    <w:p>
      <w:pPr>
        <w:pStyle w:val="ListBullet"/>
      </w:pPr>
      <w:r>
        <w:t>TGA Regulatory Framework for Software as a Medical Device (SaMD), February 2026 update</w:t>
      </w:r>
    </w:p>
    <w:p>
      <w:pPr>
        <w:pStyle w:val="ListBullet"/>
      </w:pPr>
      <w:r>
        <w:t>TGA Guidance on the compounding of medicines</w:t>
      </w:r>
    </w:p>
    <w:p>
      <w:pPr>
        <w:pStyle w:val="ListBullet"/>
      </w:pPr>
      <w:r>
        <w:t>IMDRF SaMD classification framework (adopted by TGA)</w:t>
      </w:r>
    </w:p>
    <w:p>
      <w:r>
        <w:br w:type="page"/>
      </w:r>
    </w:p>
    <w:p>
      <w:pPr>
        <w:pStyle w:val="Heading2"/>
      </w:pPr>
      <w:r>
        <w:t>3. Product Classification — United States</w:t>
      </w:r>
    </w:p>
    <w:p>
      <w:pPr>
        <w:pStyle w:val="Heading3"/>
      </w:pPr>
      <w:r>
        <w:t>Dietary Supplements Under DSHEA</w:t>
      </w:r>
    </w:p>
    <w:p>
      <w:r>
        <w:t>Under the Dietary Supplement Health and Education Act of 1994 (DSHEA):</w:t>
      </w:r>
    </w:p>
    <w:p>
      <w:pPr>
        <w:pStyle w:val="ListBullet"/>
      </w:pPr>
      <w:r>
        <w:t>Dietary supplements **don't require FDA pre-approval** before going to market</w:t>
      </w:r>
    </w:p>
    <w:p>
      <w:pPr>
        <w:pStyle w:val="ListBullet"/>
      </w:pPr>
      <w:r>
        <w:t>Manufacturers are responsible for ensuring safety and labelling accuracy</w:t>
      </w:r>
    </w:p>
    <w:p>
      <w:pPr>
        <w:pStyle w:val="ListBullet"/>
      </w:pPr>
      <w:r>
        <w:t>The FDA can take action against unsafe or mislabelled products post-market</w:t>
      </w:r>
    </w:p>
    <w:p>
      <w:pPr>
        <w:pStyle w:val="ListBullet"/>
      </w:pPr>
      <w:r>
        <w:t>**Structure/function claims** are allowed (e.g., "supports immune health") but **disease claims** are not (e.g., "prevents cancer")</w:t>
      </w:r>
    </w:p>
    <w:p>
      <w:pPr>
        <w:pStyle w:val="Heading3"/>
      </w:pPr>
      <w:r>
        <w:t>The Compounding Complication</w:t>
      </w:r>
    </w:p>
    <w:p>
      <w:r>
        <w:t>Bioweave's model — personalised formulations prescribed by a doctor, compounded by a pharmacy — more closely resembles compounded drugs than dietary supplements in the US context.</w:t>
      </w:r>
    </w:p>
    <w:p>
      <w:r>
        <w:t>Under the Drug Quality and Security Act (2013) and FDA's compounding framework:</w:t>
      </w:r>
    </w:p>
    <w:p>
      <w:pPr>
        <w:pStyle w:val="ListBullet"/>
      </w:pPr>
      <w:r>
        <w:t>**503A pharmacies** (traditional compounding): must compound based on a valid prescription from a licensed practitioner, for an individual patient</w:t>
      </w:r>
    </w:p>
    <w:p>
      <w:pPr>
        <w:pStyle w:val="ListBullet"/>
      </w:pPr>
      <w:r>
        <w:t>**503B outsourcing facilities**: can compound without individual prescriptions but must register with the FDA and follow cGMP</w:t>
      </w:r>
    </w:p>
    <w:p>
      <w:r>
        <w:t>Bioweave's doctor review process maps well to the 503A pathway:</w:t>
      </w:r>
    </w:p>
    <w:p>
      <w:pPr>
        <w:pStyle w:val="ListBullet"/>
      </w:pPr>
      <w:r>
        <w:t>Doctor writes a prescription (or authorises the formulation)</w:t>
      </w:r>
    </w:p>
    <w:p>
      <w:pPr>
        <w:pStyle w:val="ListBullet"/>
      </w:pPr>
      <w:r>
        <w:t>Licensed compounding pharmacy fills it</w:t>
      </w:r>
    </w:p>
    <w:p>
      <w:pPr>
        <w:pStyle w:val="ListBullet"/>
      </w:pPr>
      <w:r>
        <w:t>Individual patient receives a personalised product</w:t>
      </w:r>
    </w:p>
    <w:p>
      <w:r>
        <w:t>This is actually well-trodden regulatory ground in the US. Personalised compounded supplements and medications are a multi-billion dollar industry.</w:t>
      </w:r>
    </w:p>
    <w:p>
      <w:pPr>
        <w:pStyle w:val="Heading3"/>
      </w:pPr>
      <w:r>
        <w:t>FTC Advertising Requirements</w:t>
      </w:r>
    </w:p>
    <w:p>
      <w:r>
        <w:t>The Federal Trade Commission (FTC) requires that:</w:t>
      </w:r>
    </w:p>
    <w:p>
      <w:pPr>
        <w:pStyle w:val="ListBullet"/>
      </w:pPr>
      <w:r>
        <w:t>All advertising claims be **truthful and substantiated**</w:t>
      </w:r>
    </w:p>
    <w:p>
      <w:pPr>
        <w:pStyle w:val="ListBullet"/>
      </w:pPr>
      <w:r>
        <w:t>Health claims must have **competent and reliable scientific evidence**</w:t>
      </w:r>
    </w:p>
    <w:p>
      <w:pPr>
        <w:pStyle w:val="ListBullet"/>
      </w:pPr>
      <w:r>
        <w:t>Testimonials must reflect **typical results** or include appropriate disclaimers</w:t>
      </w:r>
    </w:p>
    <w:p>
      <w:pPr>
        <w:pStyle w:val="ListBullet"/>
      </w:pPr>
      <w:r>
        <w:t>Comparative advertising must be **factual and verifiable**</w:t>
      </w:r>
    </w:p>
    <w:p>
      <w:r>
        <w:t>Key difference from Australia: The FTC is generally more permissive on supplement advertising than the TGA, but enforcement actions carry heavy penalties ($millions in fines).</w:t>
      </w:r>
    </w:p>
    <w:p>
      <w:pPr>
        <w:pStyle w:val="Heading3"/>
      </w:pPr>
      <w:r>
        <w:t>US Expansion Considerations</w:t>
      </w:r>
    </w:p>
    <w:p>
      <w:pPr>
        <w:pStyle w:val="ListBullet"/>
      </w:pPr>
      <w:r>
        <w:t>Partner with a US-licensed compounding pharmacy (503A)</w:t>
      </w:r>
    </w:p>
    <w:p>
      <w:pPr>
        <w:pStyle w:val="ListBullet"/>
      </w:pPr>
      <w:r>
        <w:t>Ensure prescribing doctor is licensed in the patient's state (telemedicine laws vary by state)</w:t>
      </w:r>
    </w:p>
    <w:p>
      <w:pPr>
        <w:pStyle w:val="ListBullet"/>
      </w:pPr>
      <w:r>
        <w:t>Review all marketing claims against FTC standards</w:t>
      </w:r>
    </w:p>
    <w:p>
      <w:pPr>
        <w:pStyle w:val="ListBullet"/>
      </w:pPr>
      <w:r>
        <w:t>Consider state-level regulations (California, New York have stricter requirements)</w:t>
      </w:r>
    </w:p>
    <w:p>
      <w:pPr>
        <w:pStyle w:val="ListBullet"/>
      </w:pPr>
      <w:r>
        <w:t>Genetic data: GINA (Genetic Information Nondiscrimination Act) and state genetic privacy laws apply</w:t>
      </w:r>
    </w:p>
    <w:p>
      <w:r>
        <w:br w:type="page"/>
      </w:r>
    </w:p>
    <w:p>
      <w:pPr>
        <w:pStyle w:val="Heading2"/>
      </w:pPr>
      <w:r>
        <w:t>4. Australian Website Claims Audit</w:t>
      </w:r>
    </w:p>
    <w:p>
      <w:r>
        <w:t>Each claim rated: 🟢 GREEN (safe) | 🟡 AMBER (reword) | 🔴 RED (remove/reframe)</w:t>
      </w:r>
    </w:p>
    <w:p>
      <w:pPr>
        <w:pStyle w:val="Heading3"/>
      </w:pPr>
      <w:r>
        <w:t>Brand Positioning Claims</w:t>
      </w:r>
    </w:p>
    <w:p>
      <w:r>
        <w:t>| Claim | Rating | Analysis | Recommendation |</w:t>
      </w:r>
    </w:p>
    <w:p>
      <w:r>
        <w:t>|-------|--------|----------|----------------|</w:t>
      </w:r>
    </w:p>
    <w:p>
      <w:r>
        <w:t>| "Your biology deserves better than a generic supplement" | 🟢 GREEN | Opinion/puffery. No therapeutic claim. Comparative but not against a specific product. | Keep as-is |</w:t>
      </w:r>
    </w:p>
    <w:p>
      <w:r>
        <w:t>| "Medical-grade AI" | 🟡 AMBER | Implies the AI has been assessed/classified as a medical device. It hasn't. Could trigger TGA inquiry into whether you're marketing an unregistered medical device. | Change to **"clinical-grade AI"** or **"advanced health AI"** or simply **"AI-powered analysis"** |</w:t>
      </w:r>
    </w:p>
    <w:p>
      <w:r>
        <w:t>| "Seven specialist AI doctors" | 🔴 RED | Calling AI systems "doctors" is misleading under the Australian Consumer Law and Health Practitioner Regulation National Law. "Doctor" is a protected title. This could constitute a breach of advertising codes AND undermine your SaMD defence (you're telling the TGA your AI acts as a doctor). | Change to **"seven specialist AI agents"** or **"seven AI health analysts"** or **"seven specialist AI systems"** |</w:t>
      </w:r>
    </w:p>
    <w:p>
      <w:r>
        <w:t>| "$149/month" | 🟢 GREEN | Pricing claims are straightforward. No regulatory issue. | Keep as-is |</w:t>
      </w:r>
    </w:p>
    <w:p>
      <w:pPr>
        <w:pStyle w:val="Heading3"/>
      </w:pPr>
      <w:r>
        <w:t>Scientific/Statistical Claims</w:t>
      </w:r>
    </w:p>
    <w:p>
      <w:r>
        <w:t>| Claim | Rating | Analysis | Recommendation |</w:t>
      </w:r>
    </w:p>
    <w:p>
      <w:r>
        <w:t>|-------|--------|----------|----------------|</w:t>
      </w:r>
    </w:p>
    <w:p>
      <w:r>
        <w:t>| "99.5% carry actionable pharmacogenomic variants" | 🟢 GREEN | Based on published research (Lancet). As long as the citation is accurate and accessible, this is a factual scientific statement. | Keep — ensure citation is prominently displayed (e.g., footnote with full reference) |</w:t>
      </w:r>
    </w:p>
    <w:p>
      <w:r>
        <w:t>| "60% of Blueprint users experienced side effects" | 🟡 AMBER | If sourced from NYT reporting, it's secondary citation. Risk of defamation if Blueprint disputes the characterisation. The claim is about a specific competitor's product, which increases legal exposure. | **Verify primary source.** If from self-reported data in media, frame as: "Media reports suggest up to 60% of users of high-dose supplement protocols experience side effects" — remove direct Blueprint reference, or ensure airtight sourcing |</w:t>
      </w:r>
    </w:p>
    <w:p>
      <w:r>
        <w:t>| "23,000 ER visits per year from supplements" | 🟢 GREEN | NEJM 2015 study (Geller et al.) is a peer-reviewed, widely cited source. Accurate citation. | Keep — include full NEJM citation |</w:t>
      </w:r>
    </w:p>
    <w:p>
      <w:pPr>
        <w:pStyle w:val="Heading3"/>
      </w:pPr>
      <w:r>
        <w:t>Health Domain / Use Case Claims</w:t>
      </w:r>
    </w:p>
    <w:p>
      <w:r>
        <w:t>| Claim | Rating | Analysis | Recommendation |</w:t>
      </w:r>
    </w:p>
    <w:p>
      <w:r>
        <w:t>|-------|--------|----------|----------------|</w:t>
      </w:r>
    </w:p>
    <w:p>
      <w:r>
        <w:t>| "Your DNA can determine which supplements help, harm, or do nothing" | 🟡 AMBER | "Can" provides some hedge. But "harm" is a strong therapeutic claim. The TGA may view this as implying Bioweave can diagnose supplement harm — which would be a therapeutic claim requiring evidence. | Soften to: **"Your DNA may reveal which supplements work best for you — and which ones don't"** |</w:t>
      </w:r>
    </w:p>
    <w:p>
      <w:r>
        <w:t>| "I want to get pregnant" (use case) | 🔴 RED | Fertility claims are **heavily regulated** in Australia. Even though the response copy is careful ("designed to support"), the headline creates an implied therapeutic claim about fertility. The TGA Advertising Code specifically restricts fertility claims to products with AUST R registration. | Reframe headline to: **"Supporting reproductive health"** or **"Preparing your body for pregnancy"** — and ensure copy doesn't imply Bioweave improves fertility outcomes |</w:t>
      </w:r>
    </w:p>
    <w:p>
      <w:r>
        <w:t>| "I want to reduce perimenopause symptoms" | 🟡 AMBER | "Symptoms" is a therapeutic term — it implies a medical condition being treated. The TGA draws a clear line: managing "symptoms" = therapeutic claim; supporting "wellness during life transitions" = general health claim. | Reframe to: **"Supporting hormonal balance during perimenopause"** or **"Navigating perimenopause with personalised support"** |</w:t>
      </w:r>
    </w:p>
    <w:p>
      <w:r>
        <w:t>| "I want to feel less anxious" | 🔴 RED | Anxiety is a recognised medical condition (DSM-5, ICD-11). Claims about reducing anxiety **require AUST R registration** — this is the highest level of TGA scrutiny. Even "feel less anxious" implies treatment of a medical condition. | Reframe to: **"Supporting mental wellbeing"** or **"Supporting calm and focus"** or **"Feeling more balanced"** — absolutely no reference to anxiety as a condition |</w:t>
      </w:r>
    </w:p>
    <w:p>
      <w:r>
        <w:t>| "Extend healthspan" | 🟡 AMBER | "Healthspan" is increasingly mainstream in the longevity industry and doesn't reference a specific disease. However, it's a strong claim that could be interpreted as a therapeutic benefit. Acceptable if positioned as a wellness aspiration rather than a product outcome. | Acceptable if framed as aspiration: "Our mission is to extend healthspan." NOT acceptable if framed as product claim: "Bioweave extends your healthspan." |</w:t>
      </w:r>
    </w:p>
    <w:p>
      <w:r>
        <w:t>| "Biological age" calculation | 🟡 AMBER | If presented as a **wellness metric** (like a fitness score), it's informational and low-risk. If presented as a **medical diagnostic** (your biological age IS X), it moves into SaMD territory — you're using software to generate a diagnostic output. | Keep clearly in wellness territory. Frame as: **"Your estimated biological age"** or **"wellness age score."** Add: "This is an informational wellness metric, not a medical diagnosis." |</w:t>
      </w:r>
    </w:p>
    <w:p>
      <w:pPr>
        <w:pStyle w:val="Heading3"/>
      </w:pPr>
      <w:r>
        <w:t>Competitor Comparison Claims</w:t>
      </w:r>
    </w:p>
    <w:p>
      <w:r>
        <w:t>| Claim | Rating | Analysis | Recommendation |</w:t>
      </w:r>
    </w:p>
    <w:p>
      <w:r>
        <w:t>|-------|--------|----------|----------------|</w:t>
      </w:r>
    </w:p>
    <w:p>
      <w:r>
        <w:t>| IM8 comparison ("David Beckham's stack") | 🟡 AMBER | Comparative advertising is **permitted** in Australia under s.18 of the Australian Consumer Law, but must be factual, not misleading, and not denigratory. Claiming IM8 is "generic" must be factually accurate (i.e., same formulation for all customers). | Verify IM8's model is indeed one-size-fits-all. If so, the comparison is factual. Avoid language that could be seen as disparaging the product's quality — focus on the personalisation difference. |</w:t>
      </w:r>
    </w:p>
    <w:p>
      <w:r>
        <w:t>| Blueprint comparison | 🟡 AMBER | Same framework as above. The "60% side effects" claim is the risk area (see above). Bryan Johnson is a public figure making public claims about his protocol, which provides some protection. | Ensure all claims about Blueprint are sourced from public, verifiable information. Avoid characterisations that could be seen as defamatory. |</w:t>
      </w:r>
    </w:p>
    <w:p>
      <w:r>
        <w:t>| AgeMate comparison | 🟡 AMBER | Lower risk — less prominent competitor. Same rules apply. | Verify all factual claims. Keep comparisons focused on objective differences (personalised vs. generic, AI-driven vs. off-the-shelf). |</w:t>
      </w:r>
    </w:p>
    <w:p>
      <w:r>
        <w:br w:type="page"/>
      </w:r>
    </w:p>
    <w:p>
      <w:pPr>
        <w:pStyle w:val="Heading2"/>
      </w:pPr>
      <w:r>
        <w:t>5. The Doctor Review — Our Strongest Protection</w:t>
      </w:r>
    </w:p>
    <w:p>
      <w:r>
        <w:t>The doctor-in-the-loop review is Bioweave's single most important regulatory asset. Here's why it matters across every dimension:</w:t>
      </w:r>
    </w:p>
    <w:p>
      <w:pPr>
        <w:pStyle w:val="Heading3"/>
      </w:pPr>
      <w:r>
        <w:t>Regulatory Protection</w:t>
      </w:r>
    </w:p>
    <w:p>
      <w:r>
        <w:t>| Dimension | How the Doctor Review Helps |</w:t>
      </w:r>
    </w:p>
    <w:p>
      <w:r>
        <w:t>|-----------|---------------------------|</w:t>
      </w:r>
    </w:p>
    <w:p>
      <w:r>
        <w:t>| **Compounded medicine exemption** | A valid doctor's prescription is the foundation of the compounding exemption from ARTG listing. Without it, Bioweave's supplement is an unregistered therapeutic good. |</w:t>
      </w:r>
    </w:p>
    <w:p>
      <w:r>
        <w:t>| **SaMD mitigation** | The doctor makes the final clinical decision. The AI provides analysis and recommendations — the doctor can modify, reject, or approve. This positions the AI as clinical decision SUPPORT, not clinical decision MAKING. |</w:t>
      </w:r>
    </w:p>
    <w:p>
      <w:r>
        <w:t>| **Advertising claims** | "Doctor-reviewed" and "prescribed by your doctor" are factual statements that build trust without making therapeutic claims about the AI or product itself. |</w:t>
      </w:r>
    </w:p>
    <w:p>
      <w:r>
        <w:t>| **US compounding pathway** | The 503A compounding exemption in the US requires a valid prescription. The doctor review provides exactly this. |</w:t>
      </w:r>
    </w:p>
    <w:p>
      <w:r>
        <w:t>| **Consumer protection** | A genuine clinical relationship provides a layer of professional liability and clinical judgement between the AI and the patient. |</w:t>
      </w:r>
    </w:p>
    <w:p>
      <w:pPr>
        <w:pStyle w:val="Heading3"/>
      </w:pPr>
      <w:r>
        <w:t>How to Strengthen This Position</w:t>
      </w:r>
    </w:p>
    <w:p>
      <w:r>
        <w:t>1. Formalise the review process — Document exactly what the doctor reviews, what they can modify, what criteria trigger a rejection. This becomes your evidence that the review is genuine, not a rubber stamp.</w:t>
      </w:r>
    </w:p>
    <w:p>
      <w:r>
        <w:t>2. Give the doctor real power — The doctor must be able to:</w:t>
      </w:r>
    </w:p>
    <w:p>
      <w:r>
        <w:t xml:space="preserve">   - Modify individual ingredients or dosages</w:t>
      </w:r>
    </w:p>
    <w:p>
      <w:r>
        <w:t xml:space="preserve">   - Reject a formulation entirely</w:t>
      </w:r>
    </w:p>
    <w:p>
      <w:r>
        <w:t xml:space="preserve">   - Request additional information from the patient</w:t>
      </w:r>
    </w:p>
    <w:p>
      <w:r>
        <w:t xml:space="preserve">   - Flag cases that need further investigation</w:t>
      </w:r>
    </w:p>
    <w:p>
      <w:r>
        <w:t xml:space="preserve">   - Override the AI's recommendations</w:t>
      </w:r>
    </w:p>
    <w:p>
      <w:r>
        <w:t>3. Track review metrics — How often does the doctor modify a formulation? If the answer is "never," the TGA could argue the review is pro forma. Aim for a modification rate that demonstrates genuine clinical engagement (even 5-10% demonstrates the doctor is actively reviewing).</w:t>
      </w:r>
    </w:p>
    <w:p>
      <w:r>
        <w:t>4. Make it prominent in marketing — This isn't just compliance. It's a competitive advantage. "Every formulation reviewed by a doctor before you see it" is a powerful trust signal that competitors can't easily match.</w:t>
      </w:r>
    </w:p>
    <w:p>
      <w:r>
        <w:t>5. Consider the doctor's qualifications — An AHPRA-registered medical practitioner with relevant experience (e.g., integrative medicine, pharmacology, nutrition) strengthens the position.</w:t>
      </w:r>
    </w:p>
    <w:p>
      <w:pPr>
        <w:pStyle w:val="Heading3"/>
      </w:pPr>
      <w:r>
        <w:t>Risk: The Rubber Stamp Argument</w:t>
      </w:r>
    </w:p>
    <w:p>
      <w:r>
        <w:t>The TGA's biggest concern would be that the doctor review is perfunctory — that the doctor simply approves whatever the AI recommends. To defend against this:</w:t>
      </w:r>
    </w:p>
    <w:p>
      <w:pPr>
        <w:pStyle w:val="ListBullet"/>
      </w:pPr>
      <w:r>
        <w:t>Maintain records of doctor modifications and rejections</w:t>
      </w:r>
    </w:p>
    <w:p>
      <w:pPr>
        <w:pStyle w:val="ListBullet"/>
      </w:pPr>
      <w:r>
        <w:t>Ensure the doctor has adequate time to review each formulation (not 500 per hour)</w:t>
      </w:r>
    </w:p>
    <w:p>
      <w:pPr>
        <w:pStyle w:val="ListBullet"/>
      </w:pPr>
      <w:r>
        <w:t>Give the doctor access to the patient's full health data, not just the AI's recommendation</w:t>
      </w:r>
    </w:p>
    <w:p>
      <w:pPr>
        <w:pStyle w:val="ListBullet"/>
      </w:pPr>
      <w:r>
        <w:t>Periodically audit the review process</w:t>
      </w:r>
    </w:p>
    <w:p>
      <w:pPr>
        <w:pStyle w:val="ListBullet"/>
      </w:pPr>
      <w:r>
        <w:t>Consider having the doctor sign off on a brief clinical note for each patient</w:t>
      </w:r>
    </w:p>
    <w:p>
      <w:r>
        <w:br w:type="page"/>
      </w:r>
    </w:p>
    <w:p>
      <w:pPr>
        <w:pStyle w:val="Heading2"/>
      </w:pPr>
      <w:r>
        <w:t>6. SaMD Mitigation Strategy</w:t>
      </w:r>
    </w:p>
    <w:p>
      <w:pPr>
        <w:pStyle w:val="Heading3"/>
      </w:pPr>
      <w:r>
        <w:t>The TGA's Framework</w:t>
      </w:r>
    </w:p>
    <w:p>
      <w:r>
        <w:t>The TGA uses the International Medical Device Regulators Forum (IMDRF) framework for SaMD classification. The key determinant is the manufacturer's intended purpose.</w:t>
      </w:r>
    </w:p>
    <w:p>
      <w:r>
        <w:t>If the intended purpose is to:</w:t>
      </w:r>
    </w:p>
    <w:p>
      <w:pPr>
        <w:pStyle w:val="ListBullet"/>
      </w:pPr>
      <w:r>
        <w:t>Inform clinical management → potentially SaMD (Class I or IIa)</w:t>
      </w:r>
    </w:p>
    <w:p>
      <w:pPr>
        <w:pStyle w:val="ListBullet"/>
      </w:pPr>
      <w:r>
        <w:t>Drive clinical management → SaMD (Class IIa or higher)</w:t>
      </w:r>
    </w:p>
    <w:p>
      <w:pPr>
        <w:pStyle w:val="ListBullet"/>
      </w:pPr>
      <w:r>
        <w:t>Diagnose or treat → SaMD (Class IIb or III)</w:t>
      </w:r>
    </w:p>
    <w:p>
      <w:r>
        <w:t>If the intended purpose is to:</w:t>
      </w:r>
    </w:p>
    <w:p>
      <w:pPr>
        <w:pStyle w:val="ListBullet"/>
      </w:pPr>
      <w:r>
        <w:t>Provide health and wellness information → NOT SaMD</w:t>
      </w:r>
    </w:p>
    <w:p>
      <w:pPr>
        <w:pStyle w:val="ListBullet"/>
      </w:pPr>
      <w:r>
        <w:t>Support (not replace) clinical decision-making by a healthcare professional → likely NOT SaMD, or lower classification</w:t>
      </w:r>
    </w:p>
    <w:p>
      <w:pPr>
        <w:pStyle w:val="Heading3"/>
      </w:pPr>
      <w:r>
        <w:t>Bioweave's Positioning</w:t>
      </w:r>
    </w:p>
    <w:p>
      <w:r>
        <w:t>Every piece of documentation, marketing, and product design should consistently position the AI as:</w:t>
      </w:r>
    </w:p>
    <w:p>
      <w:r>
        <w:t>| Say This | Not This |</w:t>
      </w:r>
    </w:p>
    <w:p>
      <w:r>
        <w:t>|----------|----------|</w:t>
      </w:r>
    </w:p>
    <w:p>
      <w:r>
        <w:t>| Clinical decision **support** | Clinical decision **making** |</w:t>
      </w:r>
    </w:p>
    <w:p>
      <w:r>
        <w:t>| AI **analysis** | AI **diagnosis** |</w:t>
      </w:r>
    </w:p>
    <w:p>
      <w:r>
        <w:t>| Health **information** | Medical **advice** |</w:t>
      </w:r>
    </w:p>
    <w:p>
      <w:r>
        <w:t>| **Supports** your doctor's review | **Determines** your supplement |</w:t>
      </w:r>
    </w:p>
    <w:p>
      <w:r>
        <w:t>| Wellness **insights** | Health **assessments** |</w:t>
      </w:r>
    </w:p>
    <w:p>
      <w:r>
        <w:t>| Your doctor **prescribes** | The AI **prescribes** |</w:t>
      </w:r>
    </w:p>
    <w:p>
      <w:r>
        <w:t>| **Informational** dashboard | **Diagnostic** dashboard |</w:t>
      </w:r>
    </w:p>
    <w:p>
      <w:pPr>
        <w:pStyle w:val="Heading3"/>
      </w:pPr>
      <w:r>
        <w:t>Specific Mitigations</w:t>
      </w:r>
    </w:p>
    <w:p>
      <w:r>
        <w:t>1. AI Recommendation Engine</w:t>
      </w:r>
    </w:p>
    <w:p>
      <w:r>
        <w:t xml:space="preserve">   - Position as: "Generates preliminary analysis for doctor review"</w:t>
      </w:r>
    </w:p>
    <w:p>
      <w:r>
        <w:t xml:space="preserve">   - The output is a recommendation to the doctor, not a prescription to the patient</w:t>
      </w:r>
    </w:p>
    <w:p>
      <w:r>
        <w:t xml:space="preserve">   - The doctor sees the AI's reasoning and can override any element</w:t>
      </w:r>
    </w:p>
    <w:p>
      <w:r>
        <w:t>2. Health Dashboard</w:t>
      </w:r>
    </w:p>
    <w:p>
      <w:r>
        <w:t xml:space="preserve">   - Position as: "Informational wellness display"</w:t>
      </w:r>
    </w:p>
    <w:p>
      <w:r>
        <w:t xml:space="preserve">   - Show data and trends, not diagnoses</w:t>
      </w:r>
    </w:p>
    <w:p>
      <w:r>
        <w:t xml:space="preserve">   - Include: "This information is for wellness purposes. Consult your doctor for medical advice."</w:t>
      </w:r>
    </w:p>
    <w:p>
      <w:r>
        <w:t>3. AI Chatbot / Health Advisor</w:t>
      </w:r>
    </w:p>
    <w:p>
      <w:r>
        <w:t xml:space="preserve">   - Highest SaMD risk component — if it gives specific supplement recommendations directly to users, it's making clinical decisions</w:t>
      </w:r>
    </w:p>
    <w:p>
      <w:r>
        <w:t xml:space="preserve">   - Mitigation: The chatbot provides general health information, not personalised medical advice</w:t>
      </w:r>
    </w:p>
    <w:p>
      <w:r>
        <w:t xml:space="preserve">   - Include in every interaction: "I'm an AI assistant providing general health information. Your personalised supplement plan is reviewed and prescribed by your doctor."</w:t>
      </w:r>
    </w:p>
    <w:p>
      <w:r>
        <w:t xml:space="preserve">   - Consider limiting the chatbot to explaining the doctor-approved formulation rather than making new recommendations</w:t>
      </w:r>
    </w:p>
    <w:p>
      <w:r>
        <w:t>4. BioGlyph</w:t>
      </w:r>
    </w:p>
    <w:p>
      <w:r>
        <w:t xml:space="preserve">   - Position as: "Visual wellness identity" — not a diagnostic tool</w:t>
      </w:r>
    </w:p>
    <w:p>
      <w:r>
        <w:t xml:space="preserve">   - It's a representation of your health profile, like a personalised avatar</w:t>
      </w:r>
    </w:p>
    <w:p>
      <w:r>
        <w:t xml:space="preserve">   - Not making clinical claims — it's communicating information visually</w:t>
      </w:r>
    </w:p>
    <w:p>
      <w:pPr>
        <w:pStyle w:val="Heading3"/>
      </w:pPr>
      <w:r>
        <w:t>Documentation Requirements</w:t>
      </w:r>
    </w:p>
    <w:p>
      <w:r>
        <w:t>Create and maintain:</w:t>
      </w:r>
    </w:p>
    <w:p>
      <w:pPr>
        <w:pStyle w:val="ListBullet"/>
      </w:pPr>
      <w:r>
        <w:t>**Intended Purpose Statement** — a formal document stating the intended purpose of each software component (this is what the TGA will ask for)</w:t>
      </w:r>
    </w:p>
    <w:p>
      <w:pPr>
        <w:pStyle w:val="ListBullet"/>
      </w:pPr>
      <w:r>
        <w:t>**Clinical Workflow Documentation** — showing the doctor's role in the decision chain</w:t>
      </w:r>
    </w:p>
    <w:p>
      <w:pPr>
        <w:pStyle w:val="ListBullet"/>
      </w:pPr>
      <w:r>
        <w:t>**User-Facing Disclaimers** — consistent across all touchpoints</w:t>
      </w:r>
    </w:p>
    <w:p>
      <w:pPr>
        <w:pStyle w:val="ListBullet"/>
      </w:pPr>
      <w:r>
        <w:t>**Internal Training Materials** — ensuring the team understands and maintains the regulatory position</w:t>
      </w:r>
    </w:p>
    <w:p>
      <w:r>
        <w:br w:type="page"/>
      </w:r>
    </w:p>
    <w:p>
      <w:pPr>
        <w:pStyle w:val="Heading2"/>
      </w:pPr>
      <w:r>
        <w:t>7. IP Considerations</w:t>
      </w:r>
    </w:p>
    <w:p>
      <w:pPr>
        <w:pStyle w:val="Heading3"/>
      </w:pPr>
      <w:r>
        <w:t>What to Protect and How</w:t>
      </w:r>
    </w:p>
    <w:p>
      <w:r>
        <w:t>| Asset | Protection Type | Priority | Action |</w:t>
      </w:r>
    </w:p>
    <w:p>
      <w:r>
        <w:t>|-------|----------------|----------|--------|</w:t>
      </w:r>
    </w:p>
    <w:p>
      <w:r>
        <w:t>| **BioGlyph** (visual identity system) | Trademark + Design Registration | **HIGH** | File trademark application for "BioGlyph" in relevant classes (health, technology). Consider design registration for the visual system if it has a distinctive appearance. |</w:t>
      </w:r>
    </w:p>
    <w:p>
      <w:r>
        <w:t>| **BioGlyph seed algorithm** | Patent (provisional) + Trade Secret | **HIGH** | File provisional patent covering the method of generating personalised visual health identities from biological data. Keep the algorithm confidential. |</w:t>
      </w:r>
    </w:p>
    <w:p>
      <w:r>
        <w:t>| **"Seven Threads" framework** | Trademark | **MEDIUM** | File trademark for "Seven Threads" in health/technology classes. The concept of analysing health across seven domains could be distinctive branding. |</w:t>
      </w:r>
    </w:p>
    <w:p>
      <w:r>
        <w:t>| **Pharmacogenomic Safety Index** | Trade Secret | **HIGH** | Do NOT publish the algorithm. Protect through confidentiality agreements, access controls, and trade secret protocols. If disclosed in a patent, competitors can see it. Trade secret is better here. |</w:t>
      </w:r>
    </w:p>
    <w:p>
      <w:r>
        <w:t>| **Compound library** | Database Rights + Trade Secret | **MEDIUM** | The specific combinations, dosages, and interaction rules are proprietary data. Protect through access controls and confidentiality. |</w:t>
      </w:r>
    </w:p>
    <w:p>
      <w:r>
        <w:t>| **AI model weights and training data** | Copyright + Trade Secret | **MEDIUM** | AI model weights are protectable as trade secrets. Training methodologies may be patentable. Copyright protects the specific expression of code. |</w:t>
      </w:r>
    </w:p>
    <w:p>
      <w:r>
        <w:t>| **Brand name "Bioweave"** | Trademark | **HIGH** | Ensure trademark registration is filed or in progress across all target markets (AU, US, UK, EU). |</w:t>
      </w:r>
    </w:p>
    <w:p>
      <w:pPr>
        <w:pStyle w:val="Heading3"/>
      </w:pPr>
      <w:r>
        <w:t>Patent vs. Trade Secret Decision</w:t>
      </w:r>
    </w:p>
    <w:p>
      <w:r>
        <w:t>For the BioGlyph system specifically:</w:t>
      </w:r>
    </w:p>
    <w:p>
      <w:r>
        <w:t>Patent pros: 20 years of exclusive rights, can license, deters competitors, valuable in fundraising</w:t>
      </w:r>
    </w:p>
    <w:p>
      <w:r>
        <w:t>Patent cons: Must publicly disclose the invention, competitors can design around it, expensive, slow</w:t>
      </w:r>
    </w:p>
    <w:p>
      <w:r>
        <w:t>Trade secret pros: No disclosure, no expiry (as long as it stays secret), no cost, immediate</w:t>
      </w:r>
    </w:p>
    <w:p>
      <w:r>
        <w:t>Trade secret cons: No protection if independently discovered, lost if disclosed, harder to enforce</w:t>
      </w:r>
    </w:p>
    <w:p>
      <w:r>
        <w:t>Recommendation: File a provisional patent on the BioGlyph seed generation method. This gives you 12 months to decide whether to pursue a full patent while establishing a priority date. Meanwhile, maintain trade secret protections on the detailed algorithm.</w:t>
      </w:r>
    </w:p>
    <w:p>
      <w:pPr>
        <w:pStyle w:val="Heading3"/>
      </w:pPr>
      <w:r>
        <w:t>Immediate IP Actions</w:t>
      </w:r>
    </w:p>
    <w:p>
      <w:r>
        <w:t>1. File "BioGlyph" trademark application (AU, US)</w:t>
      </w:r>
    </w:p>
    <w:p>
      <w:r>
        <w:t>2. File provisional patent on BioGlyph seed system</w:t>
      </w:r>
    </w:p>
    <w:p>
      <w:r>
        <w:t>3. Ensure all employees and contractors have signed IP assignment agreements</w:t>
      </w:r>
    </w:p>
    <w:p>
      <w:r>
        <w:t>4. Implement trade secret protocols for the Pharmacogenomic Safety Index</w:t>
      </w:r>
    </w:p>
    <w:p>
      <w:r>
        <w:t>5. Register the "Bioweave" trademark in all target markets</w:t>
      </w:r>
    </w:p>
    <w:p>
      <w:r>
        <w:br w:type="page"/>
      </w:r>
    </w:p>
    <w:p>
      <w:pPr>
        <w:pStyle w:val="Heading2"/>
      </w:pPr>
      <w:r>
        <w:t>8. Risk Matrix</w:t>
      </w:r>
    </w:p>
    <w:p>
      <w:r>
        <w:t>| Risk Area | Likelihood | Severity | Action Required | Timeline |</w:t>
      </w:r>
    </w:p>
    <w:p>
      <w:r>
        <w:t>|-----------|-----------|----------|-----------------|----------|</w:t>
      </w:r>
    </w:p>
    <w:p>
      <w:r>
        <w:t>| AI classified as SaMD by TGA | Medium | **High** | Position as decision SUPPORT; keep doctor-in-loop; create Intended Purpose Statement | **Immediate** |</w:t>
      </w:r>
    </w:p>
    <w:p>
      <w:r>
        <w:t>| Website therapeutic claims flagged | **High** | Medium | Audit and reword all flagged claims (see Section 4) | **Before launch** |</w:t>
      </w:r>
    </w:p>
    <w:p>
      <w:r>
        <w:t>| "AI doctors" terminology breach | **High** | Medium | Change to "AI agents" or "AI specialists" across all materials | **Immediate** |</w:t>
      </w:r>
    </w:p>
    <w:p>
      <w:r>
        <w:t>| Fertility/anxiety claims trigger TGA | **High** | **High** | Reframe as wellness support; remove condition-specific language | **Before launch** |</w:t>
      </w:r>
    </w:p>
    <w:p>
      <w:r>
        <w:t>| Blueprint comparison — defamation risk | Low | Medium | Verify all competitor claims against primary sources | **Before launch** |</w:t>
      </w:r>
    </w:p>
    <w:p>
      <w:r>
        <w:t>| Compounding pharmacy non-compliance | Low | **High** | Verify pharmacy is TGA-licensed, GMP-compliant; audit annually | **Before manufacturing** |</w:t>
      </w:r>
    </w:p>
    <w:p>
      <w:r>
        <w:t>| Health data privacy breach | Medium | **High** | Implement privacy policy, APPs compliance, genetic data consent | **Before collecting data** |</w:t>
      </w:r>
    </w:p>
    <w:p>
      <w:r>
        <w:t>| "Medical-grade" implies device status | Medium | Medium | Change to "clinical-grade" or "advanced" | **Before launch** |</w:t>
      </w:r>
    </w:p>
    <w:p>
      <w:r>
        <w:t>| Doctor review deemed rubber stamp | Low | **High** | Formalise review process; track modification rates; maintain records | **Before launch** |</w:t>
      </w:r>
    </w:p>
    <w:p>
      <w:r>
        <w:t>| Genetic data misuse / re-identification | Low | **High** | Genetic data governance framework; encryption; access controls | **Before collecting data** |</w:t>
      </w:r>
    </w:p>
    <w:p>
      <w:r>
        <w:t>| International expansion without local compliance | Medium | **High** | Engage local regulatory counsel before entering US/UK/EU markets | **Before expansion** |</w:t>
      </w:r>
    </w:p>
    <w:p>
      <w:r>
        <w:t>| Competitor legal action (comparative advertising) | Low | Medium | Legal review of all comparative claims; maintain evidence files | **Before launch** |</w:t>
      </w:r>
    </w:p>
    <w:p>
      <w:r>
        <w:br w:type="page"/>
      </w:r>
    </w:p>
    <w:p>
      <w:pPr>
        <w:pStyle w:val="Heading2"/>
      </w:pPr>
      <w:r>
        <w:t>9. Recommendations — Prioritised</w:t>
      </w:r>
    </w:p>
    <w:p>
      <w:pPr>
        <w:pStyle w:val="Heading3"/>
      </w:pPr>
      <w:r>
        <w:t>🔴 Immediate (This Week)</w:t>
      </w:r>
    </w:p>
    <w:p>
      <w:r>
        <w:t>1. Change "AI doctors" to "AI specialists" or "AI agents" across all materials — website, pitch deck, internal docs. This is the single biggest red flag for anyone with regulatory experience. Radek will spot it instantly.</w:t>
      </w:r>
    </w:p>
    <w:p>
      <w:r>
        <w:t>2. Review "medical-grade AI" — replace with "clinical-grade" or "advanced AI-powered analysis." The word "medical" implies TGA classification you don't have and don't want.</w:t>
      </w:r>
    </w:p>
    <w:p>
      <w:r>
        <w:t>3. Soften fertility and anxiety claims — reframe "I want to get pregnant" → "Supporting reproductive health" and "I want to feel less anxious" → "Supporting mental wellbeing." These are the highest-risk claims on the site.</w:t>
      </w:r>
    </w:p>
    <w:p>
      <w:r>
        <w:t>4. Draft an Intended Purpose Statement — a one-page document defining each software component's intended purpose. This is what the TGA will ask for if they ever inquire.</w:t>
      </w:r>
    </w:p>
    <w:p>
      <w:pPr>
        <w:pStyle w:val="Heading3"/>
      </w:pPr>
      <w:r>
        <w:t>🟡 Before Public Launch</w:t>
      </w:r>
    </w:p>
    <w:p>
      <w:r>
        <w:t>5. Full legal review of website copy by a TGA-experienced regulatory lawyer. Budget $5-10K. Worth every dollar.</w:t>
      </w:r>
    </w:p>
    <w:p>
      <w:r>
        <w:t>6. Add disclaimers to dashboard and chatbot: *"This information is generated by AI and reviewed by your doctor. It is not a substitute for professional medical advice."*</w:t>
      </w:r>
    </w:p>
    <w:p>
      <w:r>
        <w:t>7. Verify compounding pharmacy partner is TGA-licensed and GMP-compliant. Request their licence documentation. Visit the facility if possible.</w:t>
      </w:r>
    </w:p>
    <w:p>
      <w:r>
        <w:t>8. File BioGlyph trademark application (AU initially, US when ready to expand).</w:t>
      </w:r>
    </w:p>
    <w:p>
      <w:r>
        <w:t>9. Implement privacy policy and consent flows — specifically for genetic data. Australia's Privacy Act applies, and genetic information is classified as sensitive information under the Australian Privacy Principles (APPs).</w:t>
      </w:r>
    </w:p>
    <w:p>
      <w:r>
        <w:t>10. Formalise the doctor review process — create a standard operating procedure, documentation requirements, and audit trail.</w:t>
      </w:r>
    </w:p>
    <w:p>
      <w:r>
        <w:t>11. Verify all statistical claims — confirm primary sources for the Lancet (99.5% pharmacogenomic variants), NEJM (23,000 ER visits), and any Blueprint/competitor data. Create an evidence file.</w:t>
      </w:r>
    </w:p>
    <w:p>
      <w:pPr>
        <w:pStyle w:val="Heading3"/>
      </w:pPr>
      <w:r>
        <w:t>🟢 Ongoing</w:t>
      </w:r>
    </w:p>
    <w:p>
      <w:r>
        <w:t>12. Monitor TGA guidance on AI/SaMD — this space is evolving rapidly. The February 2026 guidance is current but expect updates.</w:t>
      </w:r>
    </w:p>
    <w:p>
      <w:r>
        <w:t>13. Review competitor comparison claims quarterly — ensure all comparative advertising remains factual as competitors evolve their products.</w:t>
      </w:r>
    </w:p>
    <w:p>
      <w:r>
        <w:t>14. Track doctor review metrics — modification rates, rejection rates, average review time. This data is your compliance evidence.</w:t>
      </w:r>
    </w:p>
    <w:p>
      <w:r>
        <w:t>15. Consider AUST L(A) listing if you ever move beyond the compounded medicine model to standardised products (e.g., a "Bioweave basics" product line).</w:t>
      </w:r>
    </w:p>
    <w:p>
      <w:r>
        <w:t>16. Engage regulatory counsel for US expansion — the compounding pathway works but needs US-specific legal setup (state licensing, telemedicine laws, 503A compliance).</w:t>
      </w:r>
    </w:p>
    <w:p>
      <w:r>
        <w:br w:type="page"/>
      </w:r>
    </w:p>
    <w:p>
      <w:pPr>
        <w:pStyle w:val="Heading2"/>
      </w:pPr>
      <w:r>
        <w:t>10. Questions for Legal Review</w:t>
      </w:r>
    </w:p>
    <w:p>
      <w:r>
        <w:t>These are the questions Bioweave should take to a TGA-experienced regulatory lawyer:</w:t>
      </w:r>
    </w:p>
    <w:p>
      <w:r>
        <w:t>1. Does our doctor-in-the-loop model definitively exclude our AI from SaMD classification? We believe it does based on the IMDRF framework and TGA's intended purpose approach, but we need a formal legal opinion.</w:t>
      </w:r>
    </w:p>
    <w:p>
      <w:r>
        <w:t>2. Is the compounded medicine pathway optimal, or should we consider AUST L listing? The compounding exemption works for personalised products, but AUST L would allow broader marketing claims. What's the right long-term strategy?</w:t>
      </w:r>
    </w:p>
    <w:p>
      <w:r>
        <w:t>3. What specific disclaimers do we need on the chatbot and AI health advisor? We want to be thorough without undermining the user experience.</w:t>
      </w:r>
    </w:p>
    <w:p>
      <w:r>
        <w:t>4. Can we legally use "medical-grade AI" in Australian advertising? If not, what alternative terminology is both compliant and compelling?</w:t>
      </w:r>
    </w:p>
    <w:p>
      <w:r>
        <w:t>5. What are the specific legal risks of comparative advertising against IM8, Blueprint, and AgeMate? Is naming competitors acceptable, or should we use category descriptions?</w:t>
      </w:r>
    </w:p>
    <w:p>
      <w:r>
        <w:t>6. Do we need clinical trial evidence for our personalisation claims? Specifically — can we claim personalised supplements are more effective than generic ones without our own trial data?</w:t>
      </w:r>
    </w:p>
    <w:p>
      <w:r>
        <w:t>7. What data privacy obligations apply to genetic data in Australia? Are there obligations beyond the APPs? What about the proposed Privacy Act reforms?</w:t>
      </w:r>
    </w:p>
    <w:p>
      <w:r>
        <w:t>8. Should we register any specific compounds on the ARTG, or can we rely entirely on the compounding exemption? What triggers the point where we'd need registration?</w:t>
      </w:r>
    </w:p>
    <w:p>
      <w:r>
        <w:t>9. What's the liability framework for AI-generated health recommendations that are doctor-reviewed? Who carries the liability — Bioweave, the AI, or the reviewing doctor?</w:t>
      </w:r>
    </w:p>
    <w:p>
      <w:r>
        <w:t>10. Do we need clinical governance framework documentation? If so, what should it include?</w:t>
      </w:r>
    </w:p>
    <w:p>
      <w:r>
        <w:br w:type="page"/>
      </w:r>
    </w:p>
    <w:p>
      <w:pPr>
        <w:pStyle w:val="Heading2"/>
      </w:pPr>
      <w:r>
        <w:t>11. Radek Context — Preparing for the Conversation</w:t>
      </w:r>
    </w:p>
    <w:p>
      <w:pPr>
        <w:pStyle w:val="Heading3"/>
      </w:pPr>
      <w:r>
        <w:t>Who You're Talking To</w:t>
      </w:r>
    </w:p>
    <w:p>
      <w:r>
        <w:t>Radek Sali built Swisse from $13M to $650M revenue and sold it to Hong Kong's H&amp;H Group for $1.67B in 2015. He navigated TGA compliance for 20+ years — including multiple TGA advertising warnings and compliance notices that Swisse received along the way. He knows exactly where the lines are because Swisse crossed some of them.</w:t>
      </w:r>
    </w:p>
    <w:p>
      <w:r>
        <w:t>He's now an investor and advisor in the health/wellness space. He'll evaluate Bioweave through the lens of: "Can this scale without getting shut down by regulators?"</w:t>
      </w:r>
    </w:p>
    <w:p>
      <w:pPr>
        <w:pStyle w:val="Heading3"/>
      </w:pPr>
      <w:r>
        <w:t>What He'll Want to Know</w:t>
      </w:r>
    </w:p>
    <w:p>
      <w:r>
        <w:t>1. "How are you handling TGA?" — He knows this is the first question that kills Australian health companies. Your answer: "Compounded medicine pathway with doctor oversight. Every formulation is reviewed and prescribed by an AHPRA-registered doctor. We're not making therapeutic claims — we're supporting clinical decisions."</w:t>
      </w:r>
    </w:p>
    <w:p>
      <w:r>
        <w:t>2. "Is the AI a medical device?" — His answer: "We've positioned it as clinical decision support, not clinical decision making. The doctor makes the final call. We have an Intended Purpose Statement that formalises this."</w:t>
      </w:r>
    </w:p>
    <w:p>
      <w:r>
        <w:t>3. "What about your website claims?" — Be honest: "We're doing a compliance audit now. We know some claims need softening — we're working with a regulatory lawyer." This shows maturity, not weakness.</w:t>
      </w:r>
    </w:p>
    <w:p>
      <w:pPr>
        <w:pStyle w:val="Heading3"/>
      </w:pPr>
      <w:r>
        <w:t>What to Ask Him</w:t>
      </w:r>
    </w:p>
    <w:p>
      <w:r>
        <w:t>These are high-value questions only someone with Radek's experience can answer:</w:t>
      </w:r>
    </w:p>
    <w:p>
      <w:r>
        <w:t>1. AUST L vs. compounded medicine — "You scaled Swisse through AUST L listings. We're going compounded medicine because of personalisation. How do you see those pathways comparing for scale? When would you recommend we consider AUST L for any standardised products?"</w:t>
      </w:r>
    </w:p>
    <w:p>
      <w:r>
        <w:t>2. Advertising boundaries — "Swisse pushed advertising boundaries and got TGA warnings. What did you learn about where the line actually is versus where people think it is? What would you do differently?"</w:t>
      </w:r>
    </w:p>
    <w:p>
      <w:r>
        <w:t>3. Doctor-review model — "We have a doctor reviewing every formulation. That's our compliance backbone but it's also an operational cost. How do you see this playing at scale — is it a moat or a bottleneck?"</w:t>
      </w:r>
    </w:p>
    <w:p>
      <w:r>
        <w:t>4. Compounding pharmacy landscape — "Who are the best compounding pharmacy partners in Australia for a model like ours? What should we look for?"</w:t>
      </w:r>
    </w:p>
    <w:p>
      <w:r>
        <w:t>5. AI + supplements — "How do you think the TGA will treat AI-driven supplement recommendations in the next 2-3 years? Is there a window to establish position before regulation catches up?"</w:t>
      </w:r>
    </w:p>
    <w:p>
      <w:r>
        <w:t>6. International playbook — "When Swisse expanded internationally, what were the biggest regulatory surprises? What would you do first for US entry?"</w:t>
      </w:r>
    </w:p>
    <w:p>
      <w:pPr>
        <w:pStyle w:val="Heading3"/>
      </w:pPr>
      <w:r>
        <w:t>What Will Impress Him</w:t>
      </w:r>
    </w:p>
    <w:p>
      <w:pPr>
        <w:pStyle w:val="ListBullet"/>
      </w:pPr>
      <w:r>
        <w:t>**You've thought about compliance proactively** — not waiting for a warning letter</w:t>
      </w:r>
    </w:p>
    <w:p>
      <w:pPr>
        <w:pStyle w:val="ListBullet"/>
      </w:pPr>
      <w:r>
        <w:t>**The doctor-in-the-loop model** — this is sophisticated regulatory thinking</w:t>
      </w:r>
    </w:p>
    <w:p>
      <w:pPr>
        <w:pStyle w:val="ListBullet"/>
      </w:pPr>
      <w:r>
        <w:t>**You know the specific risks** — you're not naive about the challenges</w:t>
      </w:r>
    </w:p>
    <w:p>
      <w:pPr>
        <w:pStyle w:val="ListBullet"/>
      </w:pPr>
      <w:r>
        <w:t>**You're fixing the website claims** — shows you take it seriously</w:t>
      </w:r>
    </w:p>
    <w:p>
      <w:pPr>
        <w:pStyle w:val="ListBullet"/>
      </w:pPr>
      <w:r>
        <w:t>**You have an IP strategy** — BioGlyph, Seven Threads, trade secrets</w:t>
      </w:r>
    </w:p>
    <w:p>
      <w:pPr>
        <w:pStyle w:val="Heading3"/>
      </w:pPr>
      <w:r>
        <w:t>What Will Concern Him</w:t>
      </w:r>
    </w:p>
    <w:p>
      <w:pPr>
        <w:pStyle w:val="ListBullet"/>
      </w:pPr>
      <w:r>
        <w:t>**"AI doctors" language** — he'll see this as regulatory naivety. Fix it before the meeting.</w:t>
      </w:r>
    </w:p>
    <w:p>
      <w:pPr>
        <w:pStyle w:val="ListBullet"/>
      </w:pPr>
      <w:r>
        <w:t>**Fertility/anxiety claims** — he'll know these are regulated. Fix them.</w:t>
      </w:r>
    </w:p>
    <w:p>
      <w:pPr>
        <w:pStyle w:val="ListBullet"/>
      </w:pPr>
      <w:r>
        <w:t>**"Medical-grade"** — he'll know this implies device classification. Fix it.</w:t>
      </w:r>
    </w:p>
    <w:p>
      <w:pPr>
        <w:pStyle w:val="ListBullet"/>
      </w:pPr>
      <w:r>
        <w:t>**No formal regulatory legal opinion yet** — he'll expect you to be getting one</w:t>
      </w:r>
    </w:p>
    <w:p>
      <w:pPr>
        <w:pStyle w:val="Heading3"/>
      </w:pPr>
      <w:r>
        <w:t>The Radek Pitch Frame</w:t>
      </w:r>
    </w:p>
    <w:p>
      <w:r>
        <w:t>Don't pitch Bioweave to Radek as a supplement company. Pitch it as:</w:t>
      </w:r>
    </w:p>
    <w:p>
      <w:r>
        <w:t>&gt; "We're building the AI health operating system. The supplement is the first product — compounded, personalised, doctor-prescribed. We've chosen the compounded medicine pathway because it lets us personalise without ARTG listing, while the doctor review gives us both compliance protection and a clinical moat that's hard to replicate. We know the AI/SaMD landscape is evolving and we're positioning proactively. We'd love your perspective on how to scale this model — you've done it at a level nobody else in Australia has."</w:t>
      </w:r>
    </w:p>
    <w:p>
      <w:r>
        <w:br w:type="page"/>
      </w:r>
    </w:p>
    <w:p>
      <w:pPr>
        <w:pStyle w:val="Heading2"/>
      </w:pPr>
      <w:r>
        <w:t>Appendix: Key Regulatory References</w:t>
      </w:r>
    </w:p>
    <w:p>
      <w:r>
        <w:t>| Reference | Relevance |</w:t>
      </w:r>
    </w:p>
    <w:p>
      <w:r>
        <w:t>|-----------|-----------|</w:t>
      </w:r>
    </w:p>
    <w:p>
      <w:r>
        <w:t>| Therapeutic Goods Act 1989 (Cth) | Primary legislation governing therapeutic goods in Australia |</w:t>
      </w:r>
    </w:p>
    <w:p>
      <w:r>
        <w:t>| TGA Regulatory Framework for SaMD (Feb 2026) | Current guidance on software classification |</w:t>
      </w:r>
    </w:p>
    <w:p>
      <w:r>
        <w:t>| IMDRF SaMD Classification Framework | International framework adopted by TGA |</w:t>
      </w:r>
    </w:p>
    <w:p>
      <w:r>
        <w:t>| DSHEA 1994 (US) | US dietary supplement regulation |</w:t>
      </w:r>
    </w:p>
    <w:p>
      <w:r>
        <w:t>| Drug Quality and Security Act 2013 (US) | US compounding pharmacy regulation (503A/503B) |</w:t>
      </w:r>
    </w:p>
    <w:p>
      <w:r>
        <w:t>| Australian Consumer Law (Competition and Consumer Act 2010) | Advertising claims, comparative advertising |</w:t>
      </w:r>
    </w:p>
    <w:p>
      <w:r>
        <w:t>| Health Practitioner Regulation National Law | Protected titles (e.g., "doctor") |</w:t>
      </w:r>
    </w:p>
    <w:p>
      <w:r>
        <w:t>| Australian Privacy Principles (Privacy Act 1988) | Health and genetic data obligations |</w:t>
      </w:r>
    </w:p>
    <w:p>
      <w:r>
        <w:t>| TGA Therapeutic Goods Advertising Code 2021 | Restrictions on therapeutic advertising |</w:t>
      </w:r>
    </w:p>
    <w:p>
      <w:r>
        <w:t>| Geller et al., NEJM 2015 | 23,000 ER visits from supplements (cited on website) |</w:t>
      </w:r>
    </w:p>
    <w:p>
      <w:r>
        <w:t>| Lancet pharmacogenomics study | 99.5% actionable variants (cited on website) |</w:t>
      </w:r>
    </w:p>
    <w:p>
      <w:r>
        <w:br w:type="page"/>
      </w:r>
    </w:p>
    <w:p>
      <w:r>
        <w:t>*This document is a strategic compliance guide, not formal legal advice. Engage a TGA-experienced regulatory lawyer for formal opinions on the questions raised in Section 10.*</w:t>
      </w:r>
    </w:p>
    <w:p>
      <w:r>
        <w:t>*Prepared: April 2026 | Review by: July 2026 or before public launch (whichever is earlier)*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